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22" w:rsidRPr="0030587F" w:rsidRDefault="008C1F63">
      <w:pPr>
        <w:rPr>
          <w:rFonts w:ascii="Calibri" w:hAnsi="Calibri" w:cs="Calibri"/>
          <w:b/>
        </w:rPr>
      </w:pPr>
      <w:r w:rsidRPr="0030587F">
        <w:rPr>
          <w:rFonts w:ascii="Calibri" w:hAnsi="Calibri" w:cs="Calibri"/>
          <w:b/>
        </w:rPr>
        <w:t>GP Letter</w:t>
      </w:r>
    </w:p>
    <w:p w:rsidR="00FB45FA" w:rsidRPr="0030587F" w:rsidRDefault="00FB45FA">
      <w:pPr>
        <w:rPr>
          <w:rFonts w:ascii="Calibri" w:hAnsi="Calibri" w:cs="Calibri"/>
        </w:rPr>
      </w:pPr>
    </w:p>
    <w:p w:rsidR="00066FFA" w:rsidRPr="0030587F" w:rsidRDefault="00066FFA">
      <w:pPr>
        <w:rPr>
          <w:rFonts w:ascii="Calibri" w:hAnsi="Calibri" w:cs="Calibri"/>
        </w:rPr>
      </w:pPr>
    </w:p>
    <w:p w:rsidR="00A858B3" w:rsidRPr="0030587F" w:rsidRDefault="00A858B3">
      <w:pPr>
        <w:rPr>
          <w:rFonts w:ascii="Calibri" w:hAnsi="Calibri" w:cs="Calibri"/>
        </w:rPr>
      </w:pPr>
    </w:p>
    <w:p w:rsidR="00A858B3" w:rsidRPr="0030587F" w:rsidRDefault="00066FFA">
      <w:pPr>
        <w:rPr>
          <w:rFonts w:ascii="Calibri" w:hAnsi="Calibri" w:cs="Calibri"/>
        </w:rPr>
      </w:pPr>
      <w:r w:rsidRPr="0030587F">
        <w:rPr>
          <w:rFonts w:ascii="Calibri" w:hAnsi="Calibri" w:cs="Calibri"/>
          <w:b/>
        </w:rPr>
        <w:t xml:space="preserve">Re: </w:t>
      </w:r>
      <w:r w:rsidR="0030587F" w:rsidRPr="0030587F">
        <w:rPr>
          <w:rFonts w:ascii="Calibri" w:hAnsi="Calibri" w:cs="Calibri"/>
          <w:b/>
        </w:rPr>
        <w:t>Multidrug</w:t>
      </w:r>
      <w:r w:rsidR="001D2B85">
        <w:rPr>
          <w:rFonts w:ascii="Calibri" w:hAnsi="Calibri" w:cs="Calibri"/>
          <w:b/>
        </w:rPr>
        <w:t xml:space="preserve"> </w:t>
      </w:r>
      <w:r w:rsidR="0030587F" w:rsidRPr="0030587F">
        <w:rPr>
          <w:rFonts w:ascii="Calibri" w:hAnsi="Calibri" w:cs="Calibri"/>
          <w:b/>
        </w:rPr>
        <w:t>resistant organism</w:t>
      </w:r>
      <w:r w:rsidR="001D2B85">
        <w:rPr>
          <w:rFonts w:ascii="Calibri" w:hAnsi="Calibri" w:cs="Calibri"/>
          <w:b/>
        </w:rPr>
        <w:t xml:space="preserve"> –</w:t>
      </w:r>
      <w:r w:rsidR="0030587F" w:rsidRPr="0030587F">
        <w:rPr>
          <w:rFonts w:ascii="Calibri" w:hAnsi="Calibri" w:cs="Calibri"/>
          <w:b/>
        </w:rPr>
        <w:t xml:space="preserve"> </w:t>
      </w:r>
      <w:r w:rsidR="00A858B3" w:rsidRPr="0030587F">
        <w:rPr>
          <w:rFonts w:cs="Arial"/>
          <w:b/>
          <w:szCs w:val="24"/>
        </w:rPr>
        <w:t xml:space="preserve">Carbapenemase-producing </w:t>
      </w:r>
      <w:r w:rsidR="0032764F" w:rsidRPr="0032764F">
        <w:rPr>
          <w:rFonts w:cs="Arial"/>
          <w:b/>
          <w:szCs w:val="24"/>
        </w:rPr>
        <w:t>Enterobacterales</w:t>
      </w:r>
      <w:r w:rsidR="00A858B3" w:rsidRPr="0030587F">
        <w:rPr>
          <w:rFonts w:cs="Arial"/>
          <w:b/>
          <w:szCs w:val="24"/>
        </w:rPr>
        <w:t xml:space="preserve"> </w:t>
      </w:r>
      <w:r w:rsidR="001D2B85">
        <w:rPr>
          <w:rFonts w:cs="Arial"/>
          <w:b/>
          <w:szCs w:val="24"/>
        </w:rPr>
        <w:t xml:space="preserve">(CPE) </w:t>
      </w:r>
      <w:r w:rsidR="00A858B3" w:rsidRPr="0030587F">
        <w:rPr>
          <w:rFonts w:cs="Arial"/>
          <w:b/>
          <w:szCs w:val="24"/>
        </w:rPr>
        <w:t>[Infection/Colonisation]</w:t>
      </w:r>
    </w:p>
    <w:p w:rsidR="006C0C9E" w:rsidRDefault="00066FFA">
      <w:pPr>
        <w:rPr>
          <w:rFonts w:ascii="Calibri" w:hAnsi="Calibri" w:cs="Calibri"/>
          <w:i/>
        </w:rPr>
      </w:pPr>
      <w:r w:rsidRPr="0030587F">
        <w:rPr>
          <w:rFonts w:ascii="Calibri" w:hAnsi="Calibri" w:cs="Calibri"/>
          <w:i/>
        </w:rPr>
        <w:t>Patient Name</w:t>
      </w:r>
      <w:r w:rsidR="006C0C9E">
        <w:rPr>
          <w:rFonts w:ascii="Calibri" w:hAnsi="Calibri" w:cs="Calibri"/>
          <w:i/>
        </w:rPr>
        <w:t>:</w:t>
      </w:r>
      <w:r w:rsidRPr="0030587F">
        <w:rPr>
          <w:rFonts w:ascii="Calibri" w:hAnsi="Calibri" w:cs="Calibri"/>
          <w:i/>
        </w:rPr>
        <w:t xml:space="preserve"> </w:t>
      </w:r>
    </w:p>
    <w:p w:rsidR="006C0C9E" w:rsidRDefault="00066FFA">
      <w:pPr>
        <w:rPr>
          <w:rFonts w:ascii="Calibri" w:hAnsi="Calibri" w:cs="Calibri"/>
          <w:i/>
        </w:rPr>
      </w:pPr>
      <w:r w:rsidRPr="0030587F">
        <w:rPr>
          <w:rFonts w:ascii="Calibri" w:hAnsi="Calibri" w:cs="Calibri"/>
          <w:i/>
        </w:rPr>
        <w:t>DOB</w:t>
      </w:r>
      <w:r w:rsidR="006C0C9E">
        <w:rPr>
          <w:rFonts w:ascii="Calibri" w:hAnsi="Calibri" w:cs="Calibri"/>
          <w:i/>
        </w:rPr>
        <w:t>:</w:t>
      </w:r>
    </w:p>
    <w:p w:rsidR="00066FFA" w:rsidRDefault="00066FFA">
      <w:pPr>
        <w:rPr>
          <w:rFonts w:ascii="Calibri" w:hAnsi="Calibri" w:cs="Calibri"/>
          <w:i/>
        </w:rPr>
      </w:pPr>
      <w:r w:rsidRPr="0030587F">
        <w:rPr>
          <w:rFonts w:ascii="Calibri" w:hAnsi="Calibri" w:cs="Calibri"/>
          <w:i/>
        </w:rPr>
        <w:t>MRN</w:t>
      </w:r>
    </w:p>
    <w:p w:rsidR="006C0C9E" w:rsidRPr="0030587F" w:rsidRDefault="006C0C9E">
      <w:pPr>
        <w:rPr>
          <w:rFonts w:ascii="Calibri" w:hAnsi="Calibri" w:cs="Calibri"/>
          <w:i/>
        </w:rPr>
      </w:pPr>
      <w:r>
        <w:rPr>
          <w:rFonts w:ascii="Calibri" w:hAnsi="Calibri" w:cs="Calibri"/>
          <w:i/>
        </w:rPr>
        <w:t>Address:</w:t>
      </w:r>
    </w:p>
    <w:p w:rsidR="00066FFA" w:rsidRPr="0030587F" w:rsidRDefault="00066FFA" w:rsidP="00A858B3">
      <w:pPr>
        <w:spacing w:after="120"/>
        <w:rPr>
          <w:rFonts w:ascii="Calibri" w:hAnsi="Calibri" w:cs="Calibri"/>
        </w:rPr>
      </w:pPr>
      <w:r w:rsidRPr="0030587F">
        <w:rPr>
          <w:rFonts w:ascii="Calibri" w:hAnsi="Calibri" w:cs="Calibri"/>
        </w:rPr>
        <w:t xml:space="preserve">Dear [Insert Dr Name], </w:t>
      </w:r>
    </w:p>
    <w:p w:rsidR="003566E3" w:rsidRPr="0030587F" w:rsidRDefault="00066FFA" w:rsidP="00A858B3">
      <w:pPr>
        <w:spacing w:after="120"/>
        <w:rPr>
          <w:rFonts w:cs="Arial"/>
          <w:szCs w:val="24"/>
        </w:rPr>
      </w:pPr>
      <w:r w:rsidRPr="0030587F">
        <w:rPr>
          <w:rFonts w:ascii="Calibri" w:hAnsi="Calibri" w:cs="Calibri"/>
        </w:rPr>
        <w:t xml:space="preserve">During a recent hospital admission, [Patient Name] </w:t>
      </w:r>
      <w:r w:rsidR="001D2B85">
        <w:rPr>
          <w:rFonts w:ascii="Calibri" w:hAnsi="Calibri" w:cs="Calibri"/>
        </w:rPr>
        <w:t>was</w:t>
      </w:r>
      <w:r w:rsidRPr="0030587F">
        <w:rPr>
          <w:rFonts w:ascii="Calibri" w:hAnsi="Calibri" w:cs="Calibri"/>
        </w:rPr>
        <w:t xml:space="preserve"> identified as</w:t>
      </w:r>
      <w:r w:rsidR="009D13F8" w:rsidRPr="0030587F">
        <w:rPr>
          <w:rFonts w:ascii="Calibri" w:hAnsi="Calibri" w:cs="Calibri"/>
        </w:rPr>
        <w:t xml:space="preserve"> being</w:t>
      </w:r>
      <w:r w:rsidRPr="0030587F">
        <w:rPr>
          <w:rFonts w:ascii="Calibri" w:hAnsi="Calibri" w:cs="Calibri"/>
        </w:rPr>
        <w:t xml:space="preserve"> [</w:t>
      </w:r>
      <w:r w:rsidR="009D13F8" w:rsidRPr="0030587F">
        <w:rPr>
          <w:rFonts w:ascii="Calibri" w:hAnsi="Calibri" w:cs="Calibri"/>
        </w:rPr>
        <w:t>infected</w:t>
      </w:r>
      <w:r w:rsidRPr="0030587F">
        <w:rPr>
          <w:rFonts w:ascii="Calibri" w:hAnsi="Calibri" w:cs="Calibri"/>
        </w:rPr>
        <w:t>/ colonis</w:t>
      </w:r>
      <w:r w:rsidR="009D13F8" w:rsidRPr="0030587F">
        <w:rPr>
          <w:rFonts w:ascii="Calibri" w:hAnsi="Calibri" w:cs="Calibri"/>
        </w:rPr>
        <w:t>ed</w:t>
      </w:r>
      <w:r w:rsidRPr="0030587F">
        <w:rPr>
          <w:rFonts w:ascii="Calibri" w:hAnsi="Calibri" w:cs="Calibri"/>
        </w:rPr>
        <w:t>] with a multi</w:t>
      </w:r>
      <w:r w:rsidR="001D2B85">
        <w:rPr>
          <w:rFonts w:ascii="Calibri" w:hAnsi="Calibri" w:cs="Calibri"/>
        </w:rPr>
        <w:t xml:space="preserve">drug </w:t>
      </w:r>
      <w:r w:rsidRPr="0030587F">
        <w:rPr>
          <w:rFonts w:ascii="Calibri" w:hAnsi="Calibri" w:cs="Calibri"/>
        </w:rPr>
        <w:t>resistant organism known as carbapenem</w:t>
      </w:r>
      <w:r w:rsidR="001D2B85">
        <w:rPr>
          <w:rFonts w:ascii="Calibri" w:hAnsi="Calibri" w:cs="Calibri"/>
        </w:rPr>
        <w:t>ase</w:t>
      </w:r>
      <w:r w:rsidRPr="0030587F">
        <w:rPr>
          <w:rFonts w:ascii="Calibri" w:hAnsi="Calibri" w:cs="Calibri"/>
        </w:rPr>
        <w:t xml:space="preserve">-producing </w:t>
      </w:r>
      <w:r w:rsidR="0032764F" w:rsidRPr="0032764F">
        <w:rPr>
          <w:rFonts w:ascii="Calibri" w:hAnsi="Calibri" w:cs="Calibri"/>
        </w:rPr>
        <w:t>Enterobacterales</w:t>
      </w:r>
      <w:r w:rsidRPr="0030587F">
        <w:rPr>
          <w:rFonts w:ascii="Calibri" w:hAnsi="Calibri" w:cs="Calibri"/>
        </w:rPr>
        <w:t xml:space="preserve"> (CPE</w:t>
      </w:r>
      <w:r w:rsidR="0030587F" w:rsidRPr="0030587F">
        <w:rPr>
          <w:rFonts w:ascii="Calibri" w:hAnsi="Calibri" w:cs="Calibri"/>
        </w:rPr>
        <w:t>)</w:t>
      </w:r>
      <w:r w:rsidRPr="0030587F">
        <w:rPr>
          <w:rStyle w:val="Emphasis"/>
          <w:rFonts w:ascii="Calibri" w:eastAsia="Times New Roman" w:hAnsi="Calibri" w:cs="Calibri"/>
        </w:rPr>
        <w:t>.</w:t>
      </w:r>
      <w:r w:rsidR="00A858B3" w:rsidRPr="0030587F">
        <w:rPr>
          <w:rFonts w:ascii="Calibri" w:hAnsi="Calibri" w:cs="Calibri"/>
        </w:rPr>
        <w:t xml:space="preserve"> </w:t>
      </w:r>
      <w:r w:rsidR="00A858B3" w:rsidRPr="0030587F">
        <w:rPr>
          <w:rFonts w:cs="Arial"/>
          <w:szCs w:val="24"/>
        </w:rPr>
        <w:t xml:space="preserve">CPE are an emerging </w:t>
      </w:r>
      <w:r w:rsidR="00A23883" w:rsidRPr="0030587F">
        <w:rPr>
          <w:rFonts w:cs="Arial"/>
          <w:szCs w:val="24"/>
        </w:rPr>
        <w:t>highly antimicrobial resistant group of pathogens</w:t>
      </w:r>
      <w:r w:rsidR="001D2B85">
        <w:rPr>
          <w:rFonts w:cs="Arial"/>
          <w:szCs w:val="24"/>
        </w:rPr>
        <w:t xml:space="preserve">. CPE have </w:t>
      </w:r>
      <w:r w:rsidR="00A858B3" w:rsidRPr="0030587F">
        <w:rPr>
          <w:rFonts w:cs="Arial"/>
          <w:szCs w:val="24"/>
        </w:rPr>
        <w:t>caused a number of significant outbreaks</w:t>
      </w:r>
      <w:r w:rsidR="00A23883" w:rsidRPr="0030587F">
        <w:rPr>
          <w:rFonts w:cs="Arial"/>
          <w:szCs w:val="24"/>
        </w:rPr>
        <w:t xml:space="preserve"> </w:t>
      </w:r>
      <w:r w:rsidR="001D2B85">
        <w:rPr>
          <w:rFonts w:cs="Arial"/>
          <w:szCs w:val="24"/>
        </w:rPr>
        <w:t xml:space="preserve">globally, </w:t>
      </w:r>
      <w:r w:rsidR="00A23883" w:rsidRPr="0030587F">
        <w:rPr>
          <w:rFonts w:cs="Arial"/>
          <w:szCs w:val="24"/>
        </w:rPr>
        <w:t>mostly within hospital settings</w:t>
      </w:r>
      <w:r w:rsidR="00A858B3" w:rsidRPr="0030587F">
        <w:rPr>
          <w:rFonts w:cs="Arial"/>
          <w:szCs w:val="24"/>
        </w:rPr>
        <w:t xml:space="preserve">. </w:t>
      </w:r>
      <w:r w:rsidR="004A013A" w:rsidRPr="0030587F">
        <w:rPr>
          <w:rFonts w:cs="Arial"/>
          <w:szCs w:val="24"/>
        </w:rPr>
        <w:t xml:space="preserve">Please see </w:t>
      </w:r>
      <w:r w:rsidR="001D2B85">
        <w:rPr>
          <w:rFonts w:cs="Arial"/>
          <w:szCs w:val="24"/>
        </w:rPr>
        <w:t xml:space="preserve">the </w:t>
      </w:r>
      <w:r w:rsidR="004A013A" w:rsidRPr="0030587F">
        <w:rPr>
          <w:rFonts w:cs="Arial"/>
          <w:szCs w:val="24"/>
        </w:rPr>
        <w:t>attached quick reference guide for further information</w:t>
      </w:r>
      <w:r w:rsidR="001D2B85">
        <w:rPr>
          <w:rFonts w:cs="Arial"/>
          <w:szCs w:val="24"/>
        </w:rPr>
        <w:t xml:space="preserve"> on CPE</w:t>
      </w:r>
      <w:r w:rsidR="004A013A" w:rsidRPr="0030587F">
        <w:rPr>
          <w:rFonts w:cs="Arial"/>
          <w:szCs w:val="24"/>
        </w:rPr>
        <w:t>.</w:t>
      </w:r>
    </w:p>
    <w:p w:rsidR="00A858B3" w:rsidRPr="0030587F" w:rsidRDefault="00A858B3" w:rsidP="00A858B3">
      <w:pPr>
        <w:spacing w:after="120" w:line="270" w:lineRule="atLeast"/>
        <w:rPr>
          <w:rFonts w:ascii="Calibri" w:eastAsia="Times" w:hAnsi="Calibri" w:cs="Calibri"/>
          <w:lang w:val="en-GB"/>
        </w:rPr>
      </w:pPr>
      <w:r w:rsidRPr="0030587F">
        <w:rPr>
          <w:rFonts w:cs="Arial"/>
          <w:szCs w:val="24"/>
        </w:rPr>
        <w:t xml:space="preserve">Please list </w:t>
      </w:r>
      <w:r w:rsidRPr="0030587F">
        <w:rPr>
          <w:rFonts w:cs="Arial"/>
          <w:szCs w:val="24"/>
          <w:u w:val="single"/>
        </w:rPr>
        <w:t xml:space="preserve">carbapenemase-producing </w:t>
      </w:r>
      <w:r w:rsidR="0032764F" w:rsidRPr="0032764F">
        <w:rPr>
          <w:rFonts w:cs="Arial"/>
          <w:szCs w:val="24"/>
          <w:u w:val="single"/>
        </w:rPr>
        <w:t>Enterobacterales</w:t>
      </w:r>
      <w:r w:rsidR="0032764F">
        <w:rPr>
          <w:rFonts w:cs="Arial"/>
          <w:szCs w:val="24"/>
          <w:u w:val="single"/>
        </w:rPr>
        <w:t xml:space="preserve"> </w:t>
      </w:r>
      <w:r w:rsidR="001D2B85">
        <w:rPr>
          <w:rFonts w:cs="Arial"/>
          <w:szCs w:val="24"/>
          <w:u w:val="single"/>
        </w:rPr>
        <w:t xml:space="preserve">(CPE) </w:t>
      </w:r>
      <w:r w:rsidRPr="0030587F">
        <w:rPr>
          <w:rFonts w:cs="Arial"/>
          <w:szCs w:val="24"/>
          <w:u w:val="single"/>
        </w:rPr>
        <w:t>[infection/colonisation]</w:t>
      </w:r>
      <w:r w:rsidRPr="0030587F">
        <w:rPr>
          <w:rFonts w:cs="Arial"/>
          <w:szCs w:val="24"/>
        </w:rPr>
        <w:t xml:space="preserve"> as an active significant problem on your records for this patient so that it appears on any referral letter, especially for admission</w:t>
      </w:r>
      <w:r w:rsidR="00A23883" w:rsidRPr="0030587F">
        <w:rPr>
          <w:rFonts w:cs="Arial"/>
          <w:szCs w:val="24"/>
        </w:rPr>
        <w:t xml:space="preserve"> to either an acute or long term facility.</w:t>
      </w:r>
      <w:r w:rsidRPr="0030587F">
        <w:rPr>
          <w:rFonts w:cs="Arial"/>
          <w:szCs w:val="24"/>
        </w:rPr>
        <w:t xml:space="preserve"> </w:t>
      </w:r>
      <w:r w:rsidRPr="0030587F">
        <w:rPr>
          <w:rFonts w:ascii="Calibri" w:eastAsia="Times" w:hAnsi="Calibri" w:cs="Calibri"/>
          <w:lang w:val="en-GB"/>
        </w:rPr>
        <w:t xml:space="preserve">The most important role you can play is to help ensure that a health service, long-term residential </w:t>
      </w:r>
      <w:r w:rsidR="001D2B85">
        <w:rPr>
          <w:rFonts w:ascii="Calibri" w:eastAsia="Times" w:hAnsi="Calibri" w:cs="Calibri"/>
          <w:lang w:val="en-GB"/>
        </w:rPr>
        <w:t xml:space="preserve">care </w:t>
      </w:r>
      <w:r w:rsidRPr="0030587F">
        <w:rPr>
          <w:rFonts w:ascii="Calibri" w:eastAsia="Times" w:hAnsi="Calibri" w:cs="Calibri"/>
          <w:lang w:val="en-GB"/>
        </w:rPr>
        <w:t xml:space="preserve">facility or other healthcare setting is aware of your patient’s CPE status. </w:t>
      </w:r>
    </w:p>
    <w:p w:rsidR="00A23883" w:rsidRPr="0030587F" w:rsidRDefault="00A23883" w:rsidP="00A858B3">
      <w:pPr>
        <w:rPr>
          <w:szCs w:val="24"/>
        </w:rPr>
      </w:pPr>
      <w:r w:rsidRPr="0030587F">
        <w:rPr>
          <w:szCs w:val="24"/>
        </w:rPr>
        <w:t>However</w:t>
      </w:r>
      <w:r w:rsidR="001D2B85">
        <w:rPr>
          <w:szCs w:val="24"/>
        </w:rPr>
        <w:t>,</w:t>
      </w:r>
      <w:r w:rsidRPr="0030587F">
        <w:rPr>
          <w:szCs w:val="24"/>
        </w:rPr>
        <w:t xml:space="preserve"> </w:t>
      </w:r>
      <w:r w:rsidR="001D2B85">
        <w:rPr>
          <w:szCs w:val="24"/>
        </w:rPr>
        <w:t>any</w:t>
      </w:r>
      <w:r w:rsidRPr="0030587F">
        <w:rPr>
          <w:szCs w:val="24"/>
        </w:rPr>
        <w:t xml:space="preserve"> new infection episode</w:t>
      </w:r>
      <w:r w:rsidR="001D2B85">
        <w:rPr>
          <w:szCs w:val="24"/>
        </w:rPr>
        <w:t>s</w:t>
      </w:r>
      <w:r w:rsidRPr="0030587F">
        <w:rPr>
          <w:szCs w:val="24"/>
        </w:rPr>
        <w:t xml:space="preserve"> may not be</w:t>
      </w:r>
      <w:r w:rsidR="001D2B85">
        <w:rPr>
          <w:szCs w:val="24"/>
        </w:rPr>
        <w:t xml:space="preserve"> due to CPE </w:t>
      </w:r>
      <w:r w:rsidRPr="0030587F">
        <w:rPr>
          <w:szCs w:val="24"/>
        </w:rPr>
        <w:t xml:space="preserve">and usual investigation is suggested. </w:t>
      </w:r>
      <w:r w:rsidR="0030587F" w:rsidRPr="0030587F">
        <w:rPr>
          <w:szCs w:val="24"/>
        </w:rPr>
        <w:t>I</w:t>
      </w:r>
      <w:r w:rsidR="005C61DC" w:rsidRPr="0030587F">
        <w:rPr>
          <w:szCs w:val="24"/>
        </w:rPr>
        <w:t xml:space="preserve">f you are concerned the patient may have an infection with </w:t>
      </w:r>
      <w:r w:rsidR="001D2B85">
        <w:rPr>
          <w:szCs w:val="24"/>
        </w:rPr>
        <w:t>CPE</w:t>
      </w:r>
      <w:r w:rsidR="005C61DC" w:rsidRPr="0030587F">
        <w:rPr>
          <w:szCs w:val="24"/>
        </w:rPr>
        <w:t xml:space="preserve">, please contact the Infectious Diseases or Clinical Microbiology teams at </w:t>
      </w:r>
      <w:r w:rsidR="0030587F" w:rsidRPr="0030587F">
        <w:rPr>
          <w:szCs w:val="24"/>
        </w:rPr>
        <w:t>[</w:t>
      </w:r>
      <w:r w:rsidR="005C61DC" w:rsidRPr="0030587F">
        <w:rPr>
          <w:szCs w:val="24"/>
        </w:rPr>
        <w:t>insert healthcare facility</w:t>
      </w:r>
      <w:r w:rsidR="0030587F" w:rsidRPr="0030587F">
        <w:rPr>
          <w:szCs w:val="24"/>
        </w:rPr>
        <w:t>]</w:t>
      </w:r>
      <w:r w:rsidR="005C61DC" w:rsidRPr="0030587F">
        <w:rPr>
          <w:szCs w:val="24"/>
        </w:rPr>
        <w:t xml:space="preserve"> via the switchboard.</w:t>
      </w:r>
    </w:p>
    <w:p w:rsidR="00960731" w:rsidRPr="0030587F" w:rsidRDefault="00E85A4D" w:rsidP="00A858B3">
      <w:pPr>
        <w:spacing w:after="120" w:line="270" w:lineRule="atLeast"/>
        <w:rPr>
          <w:rFonts w:ascii="Calibri" w:eastAsia="Times" w:hAnsi="Calibri" w:cs="Calibri"/>
          <w:lang w:val="en-GB"/>
        </w:rPr>
      </w:pPr>
      <w:r w:rsidRPr="0030587F">
        <w:rPr>
          <w:rFonts w:ascii="Calibri" w:eastAsia="Times" w:hAnsi="Calibri" w:cs="Calibri"/>
          <w:lang w:val="en-GB"/>
        </w:rPr>
        <w:t>[</w:t>
      </w:r>
      <w:r w:rsidR="009D13F8" w:rsidRPr="0030587F">
        <w:rPr>
          <w:rFonts w:ascii="Calibri" w:eastAsia="Times" w:hAnsi="Calibri" w:cs="Calibri"/>
          <w:lang w:val="en-GB"/>
        </w:rPr>
        <w:t>Insert h</w:t>
      </w:r>
      <w:r w:rsidR="00960731" w:rsidRPr="0030587F">
        <w:rPr>
          <w:rFonts w:ascii="Calibri" w:eastAsia="Times" w:hAnsi="Calibri" w:cs="Calibri"/>
          <w:lang w:val="en-GB"/>
        </w:rPr>
        <w:t>ealthcare facility</w:t>
      </w:r>
      <w:r w:rsidRPr="0030587F">
        <w:rPr>
          <w:rFonts w:ascii="Calibri" w:eastAsia="Times" w:hAnsi="Calibri" w:cs="Calibri"/>
          <w:lang w:val="en-GB"/>
        </w:rPr>
        <w:t>]</w:t>
      </w:r>
      <w:r w:rsidR="00960731" w:rsidRPr="0030587F">
        <w:rPr>
          <w:rFonts w:ascii="Calibri" w:eastAsia="Times" w:hAnsi="Calibri" w:cs="Calibri"/>
          <w:lang w:val="en-GB"/>
        </w:rPr>
        <w:t xml:space="preserve"> will have an </w:t>
      </w:r>
      <w:r w:rsidR="001D2B85">
        <w:rPr>
          <w:rFonts w:ascii="Calibri" w:eastAsia="Times" w:hAnsi="Calibri" w:cs="Calibri"/>
          <w:lang w:val="en-GB"/>
        </w:rPr>
        <w:t xml:space="preserve">active </w:t>
      </w:r>
      <w:r w:rsidR="00960731" w:rsidRPr="0030587F">
        <w:rPr>
          <w:rFonts w:ascii="Calibri" w:eastAsia="Times" w:hAnsi="Calibri" w:cs="Calibri"/>
          <w:lang w:val="en-GB"/>
        </w:rPr>
        <w:t xml:space="preserve">alert </w:t>
      </w:r>
      <w:r w:rsidR="001D2B85">
        <w:rPr>
          <w:rFonts w:ascii="Calibri" w:eastAsia="Times" w:hAnsi="Calibri" w:cs="Calibri"/>
          <w:lang w:val="en-GB"/>
        </w:rPr>
        <w:t xml:space="preserve">on file </w:t>
      </w:r>
      <w:r w:rsidR="00960731" w:rsidRPr="0030587F">
        <w:rPr>
          <w:rFonts w:ascii="Calibri" w:eastAsia="Times" w:hAnsi="Calibri" w:cs="Calibri"/>
          <w:lang w:val="en-GB"/>
        </w:rPr>
        <w:t>for any readmission</w:t>
      </w:r>
      <w:r w:rsidR="001D2B85">
        <w:rPr>
          <w:rFonts w:ascii="Calibri" w:eastAsia="Times" w:hAnsi="Calibri" w:cs="Calibri"/>
          <w:lang w:val="en-GB"/>
        </w:rPr>
        <w:t>s</w:t>
      </w:r>
      <w:r w:rsidR="00960731" w:rsidRPr="0030587F">
        <w:rPr>
          <w:rFonts w:ascii="Calibri" w:eastAsia="Times" w:hAnsi="Calibri" w:cs="Calibri"/>
          <w:lang w:val="en-GB"/>
        </w:rPr>
        <w:t>, but because there is no universal patient identifier in NSW</w:t>
      </w:r>
      <w:r w:rsidR="001D2B85">
        <w:rPr>
          <w:rFonts w:ascii="Calibri" w:eastAsia="Times" w:hAnsi="Calibri" w:cs="Calibri"/>
          <w:lang w:val="en-GB"/>
        </w:rPr>
        <w:t>,</w:t>
      </w:r>
      <w:r w:rsidR="00960731" w:rsidRPr="0030587F">
        <w:rPr>
          <w:rFonts w:ascii="Calibri" w:eastAsia="Times" w:hAnsi="Calibri" w:cs="Calibri"/>
          <w:lang w:val="en-GB"/>
        </w:rPr>
        <w:t xml:space="preserve"> you (and your patient’s) roles are critical.</w:t>
      </w:r>
    </w:p>
    <w:p w:rsidR="004C5DB4" w:rsidRPr="0030587F" w:rsidRDefault="00A858B3" w:rsidP="00A858B3">
      <w:pPr>
        <w:spacing w:after="120"/>
        <w:rPr>
          <w:rFonts w:ascii="Calibri" w:eastAsia="Times New Roman" w:hAnsi="Calibri" w:cs="Calibri"/>
        </w:rPr>
      </w:pPr>
      <w:r w:rsidRPr="0030587F">
        <w:rPr>
          <w:rFonts w:ascii="Calibri" w:eastAsia="Times" w:hAnsi="Calibri" w:cs="Calibri"/>
          <w:lang w:val="en-GB"/>
        </w:rPr>
        <w:t>As part of a patient information package, y</w:t>
      </w:r>
      <w:r w:rsidR="00E85A4D" w:rsidRPr="0030587F">
        <w:rPr>
          <w:rFonts w:ascii="Calibri" w:eastAsia="Times" w:hAnsi="Calibri" w:cs="Calibri"/>
          <w:lang w:val="en-GB"/>
        </w:rPr>
        <w:t>our patient has been given a fact sheet with some</w:t>
      </w:r>
      <w:r w:rsidR="005C61DC" w:rsidRPr="0030587F">
        <w:rPr>
          <w:rFonts w:ascii="Calibri" w:eastAsia="Times" w:hAnsi="Calibri" w:cs="Calibri"/>
          <w:lang w:val="en-GB"/>
        </w:rPr>
        <w:t xml:space="preserve"> information about CPE and</w:t>
      </w:r>
      <w:r w:rsidR="00E85A4D" w:rsidRPr="0030587F">
        <w:rPr>
          <w:rFonts w:ascii="Calibri" w:eastAsia="Times" w:hAnsi="Calibri" w:cs="Calibri"/>
          <w:lang w:val="en-GB"/>
        </w:rPr>
        <w:t xml:space="preserve"> guidance for minimising risk of spread at home and in hospital.</w:t>
      </w:r>
      <w:r w:rsidR="00FB45FA" w:rsidRPr="0030587F">
        <w:rPr>
          <w:rFonts w:ascii="Calibri" w:eastAsia="Times New Roman" w:hAnsi="Calibri" w:cs="Calibri"/>
        </w:rPr>
        <w:br/>
        <w:t>If there are any questions, please do not hesitate to contact the Infection Prevention Service</w:t>
      </w:r>
      <w:r w:rsidR="00E85A4D" w:rsidRPr="0030587F">
        <w:rPr>
          <w:rFonts w:ascii="Calibri" w:eastAsia="Times New Roman" w:hAnsi="Calibri" w:cs="Calibri"/>
        </w:rPr>
        <w:t xml:space="preserve"> here at [</w:t>
      </w:r>
      <w:r w:rsidR="00A86CE8" w:rsidRPr="0030587F">
        <w:rPr>
          <w:rFonts w:ascii="Calibri" w:eastAsia="Times New Roman" w:hAnsi="Calibri" w:cs="Calibri"/>
        </w:rPr>
        <w:t>I</w:t>
      </w:r>
      <w:r w:rsidR="009D13F8" w:rsidRPr="0030587F">
        <w:rPr>
          <w:rFonts w:ascii="Calibri" w:eastAsia="Times New Roman" w:hAnsi="Calibri" w:cs="Calibri"/>
        </w:rPr>
        <w:t xml:space="preserve">nsert </w:t>
      </w:r>
      <w:r w:rsidR="00E85A4D" w:rsidRPr="0030587F">
        <w:rPr>
          <w:rFonts w:ascii="Calibri" w:eastAsia="Times New Roman" w:hAnsi="Calibri" w:cs="Calibri"/>
        </w:rPr>
        <w:t>healthcare facility]</w:t>
      </w:r>
      <w:r w:rsidR="00FB45FA" w:rsidRPr="0030587F">
        <w:rPr>
          <w:rFonts w:ascii="Calibri" w:eastAsia="Times New Roman" w:hAnsi="Calibri" w:cs="Calibri"/>
        </w:rPr>
        <w:t>.</w:t>
      </w:r>
      <w:r w:rsidR="009D13F8" w:rsidRPr="0030587F">
        <w:rPr>
          <w:rFonts w:ascii="Calibri" w:eastAsia="Times New Roman" w:hAnsi="Calibri" w:cs="Calibri"/>
        </w:rPr>
        <w:t xml:space="preserve"> </w:t>
      </w:r>
    </w:p>
    <w:p w:rsidR="00066FFA" w:rsidRPr="0030587F" w:rsidRDefault="00066FFA" w:rsidP="00A858B3">
      <w:pPr>
        <w:spacing w:after="120"/>
        <w:rPr>
          <w:rFonts w:ascii="Calibri" w:eastAsia="Times New Roman" w:hAnsi="Calibri" w:cs="Calibri"/>
        </w:rPr>
      </w:pPr>
      <w:r w:rsidRPr="0030587F">
        <w:rPr>
          <w:rFonts w:ascii="Calibri" w:eastAsia="Times New Roman" w:hAnsi="Calibri" w:cs="Calibri"/>
        </w:rPr>
        <w:t>[</w:t>
      </w:r>
      <w:r w:rsidR="009D13F8" w:rsidRPr="0030587F">
        <w:rPr>
          <w:rFonts w:ascii="Calibri" w:eastAsia="Times New Roman" w:hAnsi="Calibri" w:cs="Calibri"/>
        </w:rPr>
        <w:t xml:space="preserve">Insert </w:t>
      </w:r>
      <w:r w:rsidRPr="0030587F">
        <w:rPr>
          <w:rFonts w:ascii="Calibri" w:eastAsia="Times New Roman" w:hAnsi="Calibri" w:cs="Calibri"/>
        </w:rPr>
        <w:t xml:space="preserve">IPC </w:t>
      </w:r>
      <w:r w:rsidR="009D13F8" w:rsidRPr="0030587F">
        <w:rPr>
          <w:rFonts w:ascii="Calibri" w:eastAsia="Times New Roman" w:hAnsi="Calibri" w:cs="Calibri"/>
        </w:rPr>
        <w:t>c</w:t>
      </w:r>
      <w:r w:rsidRPr="0030587F">
        <w:rPr>
          <w:rFonts w:ascii="Calibri" w:eastAsia="Times New Roman" w:hAnsi="Calibri" w:cs="Calibri"/>
        </w:rPr>
        <w:t xml:space="preserve">ontact </w:t>
      </w:r>
      <w:r w:rsidR="009D13F8" w:rsidRPr="0030587F">
        <w:rPr>
          <w:rFonts w:ascii="Calibri" w:eastAsia="Times New Roman" w:hAnsi="Calibri" w:cs="Calibri"/>
        </w:rPr>
        <w:t>i</w:t>
      </w:r>
      <w:r w:rsidRPr="0030587F">
        <w:rPr>
          <w:rFonts w:ascii="Calibri" w:eastAsia="Times New Roman" w:hAnsi="Calibri" w:cs="Calibri"/>
        </w:rPr>
        <w:t>nformation]</w:t>
      </w:r>
    </w:p>
    <w:p w:rsidR="004C5DB4" w:rsidRPr="0030587F" w:rsidRDefault="004C5DB4" w:rsidP="004C5DB4">
      <w:pPr>
        <w:spacing w:after="120"/>
        <w:rPr>
          <w:rFonts w:ascii="Calibri" w:eastAsia="Times New Roman" w:hAnsi="Calibri" w:cs="Calibri"/>
        </w:rPr>
      </w:pPr>
    </w:p>
    <w:p w:rsidR="009D13F8" w:rsidRPr="0030587F" w:rsidRDefault="009D13F8">
      <w:pPr>
        <w:rPr>
          <w:rFonts w:ascii="Calibri" w:eastAsia="Times New Roman" w:hAnsi="Calibri" w:cs="Calibri"/>
        </w:rPr>
      </w:pPr>
      <w:r w:rsidRPr="0030587F">
        <w:rPr>
          <w:rFonts w:ascii="Calibri" w:eastAsia="Times New Roman" w:hAnsi="Calibri" w:cs="Calibri"/>
        </w:rPr>
        <w:t xml:space="preserve">Yours sincerely, </w:t>
      </w:r>
    </w:p>
    <w:p w:rsidR="009D13F8" w:rsidRPr="0030587F" w:rsidRDefault="009D13F8">
      <w:pPr>
        <w:rPr>
          <w:rFonts w:ascii="Calibri" w:eastAsia="Times New Roman" w:hAnsi="Calibri" w:cs="Calibri"/>
        </w:rPr>
      </w:pPr>
    </w:p>
    <w:p w:rsidR="009D13F8" w:rsidRPr="0030587F" w:rsidRDefault="009D13F8">
      <w:pPr>
        <w:rPr>
          <w:rFonts w:ascii="Calibri" w:eastAsia="Times New Roman" w:hAnsi="Calibri" w:cs="Calibri"/>
        </w:rPr>
      </w:pPr>
      <w:r w:rsidRPr="0030587F">
        <w:rPr>
          <w:rFonts w:ascii="Calibri" w:eastAsia="Times New Roman" w:hAnsi="Calibri" w:cs="Calibri"/>
        </w:rPr>
        <w:t>[Insert Name]</w:t>
      </w:r>
    </w:p>
    <w:p w:rsidR="009D13F8" w:rsidRPr="0030587F" w:rsidRDefault="009D13F8">
      <w:pPr>
        <w:rPr>
          <w:rFonts w:ascii="Calibri" w:eastAsia="Times New Roman" w:hAnsi="Calibri" w:cs="Calibri"/>
        </w:rPr>
      </w:pPr>
      <w:r w:rsidRPr="0030587F">
        <w:rPr>
          <w:rFonts w:ascii="Calibri" w:eastAsia="Times New Roman" w:hAnsi="Calibri" w:cs="Calibri"/>
        </w:rPr>
        <w:t>[Insert Title]</w:t>
      </w:r>
    </w:p>
    <w:p w:rsidR="00E85A4D" w:rsidRPr="0030587F" w:rsidRDefault="00E85A4D">
      <w:pPr>
        <w:rPr>
          <w:rFonts w:ascii="Arial" w:eastAsia="Times New Roman" w:hAnsi="Arial" w:cs="Arial"/>
          <w:sz w:val="24"/>
          <w:szCs w:val="24"/>
        </w:rPr>
      </w:pPr>
      <w:r w:rsidRPr="0030587F">
        <w:rPr>
          <w:rFonts w:ascii="Arial" w:eastAsia="Times New Roman" w:hAnsi="Arial" w:cs="Arial"/>
          <w:sz w:val="24"/>
          <w:szCs w:val="24"/>
        </w:rPr>
        <w:br w:type="page"/>
      </w:r>
    </w:p>
    <w:tbl>
      <w:tblPr>
        <w:tblStyle w:val="TableGrid"/>
        <w:tblW w:w="10080" w:type="dxa"/>
        <w:tblInd w:w="-545" w:type="dxa"/>
        <w:tblLook w:val="04A0" w:firstRow="1" w:lastRow="0" w:firstColumn="1" w:lastColumn="0" w:noHBand="0" w:noVBand="1"/>
      </w:tblPr>
      <w:tblGrid>
        <w:gridCol w:w="2430"/>
        <w:gridCol w:w="7650"/>
      </w:tblGrid>
      <w:tr w:rsidR="00B30F23" w:rsidRPr="0030587F" w:rsidTr="00E575EB">
        <w:tc>
          <w:tcPr>
            <w:tcW w:w="10080" w:type="dxa"/>
            <w:gridSpan w:val="2"/>
          </w:tcPr>
          <w:p w:rsidR="00B30F23" w:rsidRPr="0030587F" w:rsidRDefault="00B30F23" w:rsidP="000011CA">
            <w:pPr>
              <w:spacing w:after="120"/>
              <w:rPr>
                <w:b/>
              </w:rPr>
            </w:pPr>
            <w:r w:rsidRPr="0030587F">
              <w:rPr>
                <w:b/>
              </w:rPr>
              <w:t xml:space="preserve">Primary Care </w:t>
            </w:r>
            <w:r w:rsidR="00A36827" w:rsidRPr="0030587F">
              <w:rPr>
                <w:b/>
              </w:rPr>
              <w:t xml:space="preserve">CPE </w:t>
            </w:r>
            <w:r w:rsidRPr="0030587F">
              <w:rPr>
                <w:b/>
              </w:rPr>
              <w:t>Quick Reference Guide</w:t>
            </w:r>
          </w:p>
        </w:tc>
      </w:tr>
      <w:tr w:rsidR="00B30F23" w:rsidRPr="0030587F" w:rsidTr="00D0170D">
        <w:tc>
          <w:tcPr>
            <w:tcW w:w="2430" w:type="dxa"/>
          </w:tcPr>
          <w:p w:rsidR="00B30F23" w:rsidRPr="0030587F" w:rsidRDefault="004C5DB4" w:rsidP="0032764F">
            <w:pPr>
              <w:spacing w:after="120"/>
              <w:rPr>
                <w:b/>
              </w:rPr>
            </w:pPr>
            <w:r w:rsidRPr="0030587F">
              <w:rPr>
                <w:b/>
              </w:rPr>
              <w:t>What is</w:t>
            </w:r>
            <w:r w:rsidR="00B30F23" w:rsidRPr="0030587F">
              <w:rPr>
                <w:b/>
              </w:rPr>
              <w:t xml:space="preserve"> </w:t>
            </w:r>
            <w:r w:rsidR="001D2B85">
              <w:rPr>
                <w:b/>
              </w:rPr>
              <w:t>c</w:t>
            </w:r>
            <w:r w:rsidR="00B30F23" w:rsidRPr="0030587F">
              <w:rPr>
                <w:b/>
              </w:rPr>
              <w:t xml:space="preserve">arbapenemase-producing </w:t>
            </w:r>
            <w:r w:rsidR="0032764F" w:rsidRPr="0032764F">
              <w:rPr>
                <w:b/>
              </w:rPr>
              <w:t>Enterobacterales</w:t>
            </w:r>
            <w:r w:rsidR="0032764F">
              <w:rPr>
                <w:b/>
              </w:rPr>
              <w:t xml:space="preserve"> </w:t>
            </w:r>
            <w:r w:rsidR="00B30F23" w:rsidRPr="0030587F">
              <w:rPr>
                <w:b/>
              </w:rPr>
              <w:t>(CPE)?</w:t>
            </w:r>
          </w:p>
        </w:tc>
        <w:tc>
          <w:tcPr>
            <w:tcW w:w="7650" w:type="dxa"/>
          </w:tcPr>
          <w:p w:rsidR="00D0170D" w:rsidRPr="0030587F" w:rsidRDefault="0032764F" w:rsidP="000011CA">
            <w:pPr>
              <w:spacing w:after="120"/>
            </w:pPr>
            <w:r w:rsidRPr="0032764F">
              <w:rPr>
                <w:i/>
              </w:rPr>
              <w:t>Enterobacterales</w:t>
            </w:r>
            <w:r>
              <w:rPr>
                <w:i/>
              </w:rPr>
              <w:t xml:space="preserve"> </w:t>
            </w:r>
            <w:r w:rsidR="00D0170D" w:rsidRPr="0030587F">
              <w:t xml:space="preserve">are a family of Gram-negative bacteria which are part of the normal gut flora. </w:t>
            </w:r>
            <w:r w:rsidR="00D0170D" w:rsidRPr="0030587F">
              <w:rPr>
                <w:rFonts w:cs="Arial"/>
              </w:rPr>
              <w:t>They can also spread outside the gut and cause serious infections such as bacteraemia, pneumonia, urinary tract and wound infections.</w:t>
            </w:r>
          </w:p>
          <w:p w:rsidR="00D0170D" w:rsidRPr="0030587F" w:rsidRDefault="00D0170D" w:rsidP="000011CA">
            <w:pPr>
              <w:spacing w:after="120"/>
            </w:pPr>
            <w:r w:rsidRPr="0030587F">
              <w:t xml:space="preserve">Carbapenems are a group of broad-spectrum antibiotics that are effective against most Gram-negative infections and are a last line of treatment for these infections. </w:t>
            </w:r>
          </w:p>
          <w:p w:rsidR="00B30F23" w:rsidRPr="0030587F" w:rsidRDefault="00D0170D" w:rsidP="0032764F">
            <w:pPr>
              <w:spacing w:after="120"/>
              <w:rPr>
                <w:b/>
              </w:rPr>
            </w:pPr>
            <w:r w:rsidRPr="0030587F">
              <w:t xml:space="preserve">Carbapenemase enzymes (e.g. KPC, NDM, IMP and VIM) produced by </w:t>
            </w:r>
            <w:r w:rsidR="0032764F" w:rsidRPr="0032764F">
              <w:rPr>
                <w:i/>
              </w:rPr>
              <w:t>Enterobacterales</w:t>
            </w:r>
            <w:r w:rsidR="0032764F">
              <w:t xml:space="preserve"> </w:t>
            </w:r>
            <w:r w:rsidRPr="0030587F">
              <w:t>can confer resistance to carbapenems and other important antibiotics, i.e. penicillins, cephalosporins, monobactams, aminoglycosides and fluoroquinolones.</w:t>
            </w:r>
          </w:p>
        </w:tc>
      </w:tr>
      <w:tr w:rsidR="00B30F23" w:rsidRPr="0030587F" w:rsidTr="00D0170D">
        <w:tc>
          <w:tcPr>
            <w:tcW w:w="2430" w:type="dxa"/>
          </w:tcPr>
          <w:p w:rsidR="00B30F23" w:rsidRPr="0030587F" w:rsidRDefault="00D0170D" w:rsidP="000011CA">
            <w:pPr>
              <w:spacing w:after="120"/>
              <w:rPr>
                <w:b/>
              </w:rPr>
            </w:pPr>
            <w:r w:rsidRPr="0030587F">
              <w:rPr>
                <w:b/>
              </w:rPr>
              <w:t>Who is at risk?</w:t>
            </w:r>
          </w:p>
        </w:tc>
        <w:tc>
          <w:tcPr>
            <w:tcW w:w="7650" w:type="dxa"/>
          </w:tcPr>
          <w:p w:rsidR="00D0170D" w:rsidRPr="0030587F" w:rsidRDefault="00D0170D" w:rsidP="000011CA">
            <w:pPr>
              <w:spacing w:after="120"/>
            </w:pPr>
            <w:r w:rsidRPr="0030587F">
              <w:t xml:space="preserve">In Australia </w:t>
            </w:r>
            <w:r w:rsidR="001E0341" w:rsidRPr="0030587F">
              <w:t xml:space="preserve">currently, </w:t>
            </w:r>
            <w:r w:rsidRPr="0030587F">
              <w:t xml:space="preserve">the major risk factor for acquiring CPE is overseas travel, especially when medical care or treatment in a healthcare facility </w:t>
            </w:r>
            <w:r w:rsidR="00746E7A">
              <w:t xml:space="preserve">including </w:t>
            </w:r>
            <w:r w:rsidR="009A5A45">
              <w:t xml:space="preserve">clinics or </w:t>
            </w:r>
            <w:r w:rsidR="00746E7A">
              <w:t xml:space="preserve">residential aged care </w:t>
            </w:r>
            <w:r w:rsidRPr="0030587F">
              <w:t>is involved.</w:t>
            </w:r>
            <w:r w:rsidR="000011CA" w:rsidRPr="0030587F">
              <w:t xml:space="preserve"> </w:t>
            </w:r>
            <w:r w:rsidRPr="0030587F">
              <w:rPr>
                <w:rFonts w:cs="Arial"/>
              </w:rPr>
              <w:t>Additional risk factors are:</w:t>
            </w:r>
          </w:p>
          <w:p w:rsidR="00D0170D" w:rsidRPr="0030587F" w:rsidRDefault="00D0170D" w:rsidP="000011CA">
            <w:pPr>
              <w:pStyle w:val="ListParagraph"/>
              <w:numPr>
                <w:ilvl w:val="0"/>
                <w:numId w:val="4"/>
              </w:numPr>
              <w:spacing w:after="120"/>
              <w:rPr>
                <w:rFonts w:cs="Arial"/>
              </w:rPr>
            </w:pPr>
            <w:r w:rsidRPr="0030587F">
              <w:rPr>
                <w:rFonts w:cs="Arial"/>
              </w:rPr>
              <w:t>Prolonged hospitalisation</w:t>
            </w:r>
          </w:p>
          <w:p w:rsidR="00D0170D" w:rsidRPr="0030587F" w:rsidRDefault="00D0170D" w:rsidP="000011CA">
            <w:pPr>
              <w:pStyle w:val="ListParagraph"/>
              <w:numPr>
                <w:ilvl w:val="0"/>
                <w:numId w:val="4"/>
              </w:numPr>
              <w:spacing w:after="120"/>
              <w:rPr>
                <w:rFonts w:cs="Arial"/>
              </w:rPr>
            </w:pPr>
            <w:r w:rsidRPr="0030587F">
              <w:rPr>
                <w:rFonts w:cs="Arial"/>
              </w:rPr>
              <w:t>Dialysis or chemotherapy in the previous 12 months</w:t>
            </w:r>
          </w:p>
          <w:p w:rsidR="00D0170D" w:rsidRPr="0030587F" w:rsidRDefault="00D0170D" w:rsidP="000011CA">
            <w:pPr>
              <w:pStyle w:val="ListParagraph"/>
              <w:numPr>
                <w:ilvl w:val="0"/>
                <w:numId w:val="4"/>
              </w:numPr>
              <w:spacing w:after="120"/>
              <w:rPr>
                <w:rFonts w:cs="Arial"/>
              </w:rPr>
            </w:pPr>
            <w:r w:rsidRPr="0030587F">
              <w:rPr>
                <w:rFonts w:cs="Arial"/>
              </w:rPr>
              <w:t xml:space="preserve">Multiple or recent exposure to different antibiotics </w:t>
            </w:r>
          </w:p>
          <w:p w:rsidR="00D0170D" w:rsidRPr="0030587F" w:rsidRDefault="00D0170D" w:rsidP="000011CA">
            <w:pPr>
              <w:pStyle w:val="ListParagraph"/>
              <w:numPr>
                <w:ilvl w:val="0"/>
                <w:numId w:val="4"/>
              </w:numPr>
              <w:spacing w:after="120"/>
              <w:rPr>
                <w:rFonts w:cs="Arial"/>
              </w:rPr>
            </w:pPr>
            <w:r w:rsidRPr="0030587F">
              <w:rPr>
                <w:rFonts w:cs="Arial"/>
              </w:rPr>
              <w:t xml:space="preserve">Indwelling medical devices </w:t>
            </w:r>
          </w:p>
          <w:p w:rsidR="00D0170D" w:rsidRPr="0030587F" w:rsidRDefault="00D0170D" w:rsidP="000011CA">
            <w:pPr>
              <w:pStyle w:val="ListParagraph"/>
              <w:numPr>
                <w:ilvl w:val="0"/>
                <w:numId w:val="4"/>
              </w:numPr>
              <w:spacing w:after="120"/>
              <w:rPr>
                <w:rFonts w:cs="Arial"/>
              </w:rPr>
            </w:pPr>
            <w:r w:rsidRPr="0030587F">
              <w:rPr>
                <w:rFonts w:cs="Arial"/>
              </w:rPr>
              <w:t>Organ or stem cell transplant recipients</w:t>
            </w:r>
          </w:p>
          <w:p w:rsidR="00D0170D" w:rsidRPr="0030587F" w:rsidRDefault="00D0170D" w:rsidP="000011CA">
            <w:pPr>
              <w:pStyle w:val="ListParagraph"/>
              <w:numPr>
                <w:ilvl w:val="0"/>
                <w:numId w:val="4"/>
              </w:numPr>
              <w:spacing w:after="120"/>
              <w:rPr>
                <w:rFonts w:cs="Arial"/>
              </w:rPr>
            </w:pPr>
            <w:r w:rsidRPr="0030587F">
              <w:rPr>
                <w:rFonts w:cs="Arial"/>
              </w:rPr>
              <w:t>Mechanical ventilation</w:t>
            </w:r>
          </w:p>
          <w:p w:rsidR="00D0170D" w:rsidRPr="0030587F" w:rsidRDefault="00D0170D" w:rsidP="000011CA">
            <w:pPr>
              <w:pStyle w:val="ListParagraph"/>
              <w:numPr>
                <w:ilvl w:val="0"/>
                <w:numId w:val="4"/>
              </w:numPr>
              <w:spacing w:after="120"/>
              <w:rPr>
                <w:rFonts w:cs="Arial"/>
              </w:rPr>
            </w:pPr>
            <w:r w:rsidRPr="0030587F">
              <w:rPr>
                <w:rFonts w:cs="Arial"/>
              </w:rPr>
              <w:t>Admission to an intensive care unit</w:t>
            </w:r>
          </w:p>
          <w:p w:rsidR="00D0170D" w:rsidRPr="0030587F" w:rsidRDefault="00D0170D" w:rsidP="000011CA">
            <w:pPr>
              <w:pStyle w:val="ListParagraph"/>
              <w:numPr>
                <w:ilvl w:val="0"/>
                <w:numId w:val="4"/>
              </w:numPr>
              <w:spacing w:after="120"/>
              <w:rPr>
                <w:rFonts w:cs="Arial"/>
              </w:rPr>
            </w:pPr>
            <w:r w:rsidRPr="0030587F">
              <w:rPr>
                <w:rFonts w:cs="Arial"/>
              </w:rPr>
              <w:t>Diabetes mellitus</w:t>
            </w:r>
          </w:p>
          <w:p w:rsidR="00B30F23" w:rsidRPr="0030587F" w:rsidRDefault="00D0170D" w:rsidP="000011CA">
            <w:pPr>
              <w:pStyle w:val="ListParagraph"/>
              <w:numPr>
                <w:ilvl w:val="0"/>
                <w:numId w:val="4"/>
              </w:numPr>
              <w:spacing w:after="120"/>
              <w:rPr>
                <w:rFonts w:cs="Arial"/>
              </w:rPr>
            </w:pPr>
            <w:r w:rsidRPr="0030587F">
              <w:rPr>
                <w:rFonts w:cs="Arial"/>
              </w:rPr>
              <w:t xml:space="preserve">Prior </w:t>
            </w:r>
            <w:r w:rsidR="00E96FA1" w:rsidRPr="0030587F">
              <w:rPr>
                <w:rFonts w:cs="Arial"/>
              </w:rPr>
              <w:t>vancomycin-resistant Enterococci (</w:t>
            </w:r>
            <w:r w:rsidRPr="0030587F">
              <w:rPr>
                <w:rFonts w:cs="Arial"/>
              </w:rPr>
              <w:t>VRE</w:t>
            </w:r>
            <w:r w:rsidR="00E96FA1" w:rsidRPr="0030587F">
              <w:rPr>
                <w:rFonts w:cs="Arial"/>
              </w:rPr>
              <w:t>)</w:t>
            </w:r>
            <w:r w:rsidRPr="0030587F">
              <w:rPr>
                <w:rFonts w:cs="Arial"/>
              </w:rPr>
              <w:t xml:space="preserve"> colonisation</w:t>
            </w:r>
          </w:p>
        </w:tc>
      </w:tr>
      <w:tr w:rsidR="00B30F23" w:rsidRPr="0030587F" w:rsidTr="00F42F50">
        <w:tc>
          <w:tcPr>
            <w:tcW w:w="2430" w:type="dxa"/>
          </w:tcPr>
          <w:p w:rsidR="00B30F23" w:rsidRPr="0030587F" w:rsidRDefault="00B30F23" w:rsidP="000011CA">
            <w:pPr>
              <w:spacing w:after="120"/>
              <w:rPr>
                <w:b/>
              </w:rPr>
            </w:pPr>
            <w:r w:rsidRPr="0030587F">
              <w:rPr>
                <w:b/>
              </w:rPr>
              <w:t>What is required from primary care?</w:t>
            </w:r>
          </w:p>
        </w:tc>
        <w:tc>
          <w:tcPr>
            <w:tcW w:w="7650" w:type="dxa"/>
            <w:shd w:val="clear" w:color="auto" w:fill="auto"/>
          </w:tcPr>
          <w:p w:rsidR="00B30F23" w:rsidRPr="0030587F" w:rsidRDefault="00E71825" w:rsidP="000011CA">
            <w:pPr>
              <w:spacing w:after="120"/>
              <w:rPr>
                <w:rFonts w:ascii="Calibri" w:eastAsia="Times" w:hAnsi="Calibri" w:cs="Calibri"/>
                <w:lang w:val="en-GB"/>
              </w:rPr>
            </w:pPr>
            <w:r w:rsidRPr="0030587F">
              <w:rPr>
                <w:rFonts w:ascii="Calibri" w:eastAsia="Times" w:hAnsi="Calibri" w:cs="Calibri"/>
                <w:lang w:val="en-GB"/>
              </w:rPr>
              <w:t xml:space="preserve">The most important role you can play as a primary carer is to help ensure that a health service, long-term residential </w:t>
            </w:r>
            <w:r w:rsidR="001D2B85">
              <w:rPr>
                <w:rFonts w:ascii="Calibri" w:eastAsia="Times" w:hAnsi="Calibri" w:cs="Calibri"/>
                <w:lang w:val="en-GB"/>
              </w:rPr>
              <w:t xml:space="preserve">care </w:t>
            </w:r>
            <w:r w:rsidRPr="0030587F">
              <w:rPr>
                <w:rFonts w:ascii="Calibri" w:eastAsia="Times" w:hAnsi="Calibri" w:cs="Calibri"/>
                <w:lang w:val="en-GB"/>
              </w:rPr>
              <w:t>facility or other healthcare setting is aware of your patient’s CPE status. This means advising the health service or facility in writing or by phone whenever you are referring your patient.</w:t>
            </w:r>
          </w:p>
        </w:tc>
      </w:tr>
      <w:tr w:rsidR="00B30F23" w:rsidRPr="0030587F" w:rsidTr="00D0170D">
        <w:tc>
          <w:tcPr>
            <w:tcW w:w="2430" w:type="dxa"/>
          </w:tcPr>
          <w:p w:rsidR="00B30F23" w:rsidRPr="0030587F" w:rsidRDefault="00B30F23" w:rsidP="000011CA">
            <w:pPr>
              <w:spacing w:after="120"/>
              <w:rPr>
                <w:b/>
              </w:rPr>
            </w:pPr>
            <w:r w:rsidRPr="0030587F">
              <w:rPr>
                <w:b/>
              </w:rPr>
              <w:t>Screening and early detection (only if requested)</w:t>
            </w:r>
          </w:p>
        </w:tc>
        <w:tc>
          <w:tcPr>
            <w:tcW w:w="7650" w:type="dxa"/>
          </w:tcPr>
          <w:p w:rsidR="00B30F23" w:rsidRPr="0030587F" w:rsidRDefault="001D2B85" w:rsidP="001D2B85">
            <w:pPr>
              <w:spacing w:after="120"/>
              <w:rPr>
                <w:b/>
              </w:rPr>
            </w:pPr>
            <w:r>
              <w:t>CPE screening is n</w:t>
            </w:r>
            <w:r w:rsidR="00B30F23" w:rsidRPr="0030587F">
              <w:t>ot routinely used in community. If require</w:t>
            </w:r>
            <w:r>
              <w:t xml:space="preserve">d, the preferred option is a </w:t>
            </w:r>
            <w:r w:rsidR="00B30F23" w:rsidRPr="0030587F">
              <w:t>rectal swab</w:t>
            </w:r>
            <w:r w:rsidR="0032764F">
              <w:t xml:space="preserve"> or faeces</w:t>
            </w:r>
            <w:r>
              <w:t xml:space="preserve">, which should be collected </w:t>
            </w:r>
            <w:r w:rsidR="00B30F23" w:rsidRPr="0030587F">
              <w:t>by</w:t>
            </w:r>
            <w:r>
              <w:t xml:space="preserve"> a</w:t>
            </w:r>
            <w:r w:rsidR="00B30F23" w:rsidRPr="0030587F">
              <w:t xml:space="preserve"> competent practitioner</w:t>
            </w:r>
            <w:r>
              <w:t>; stool samples may be used as a second alternative.  S</w:t>
            </w:r>
            <w:r w:rsidR="00B30F23" w:rsidRPr="0030587F">
              <w:t>wabs from wounds and device related sites may provide additional information if requested</w:t>
            </w:r>
            <w:r w:rsidR="001E0341" w:rsidRPr="0030587F">
              <w:t>.</w:t>
            </w:r>
          </w:p>
        </w:tc>
      </w:tr>
      <w:tr w:rsidR="00B30F23" w:rsidRPr="0030587F" w:rsidTr="0030587F">
        <w:tc>
          <w:tcPr>
            <w:tcW w:w="2430" w:type="dxa"/>
          </w:tcPr>
          <w:p w:rsidR="00B30F23" w:rsidRPr="0030587F" w:rsidRDefault="00B30F23" w:rsidP="000011CA">
            <w:pPr>
              <w:spacing w:after="120"/>
              <w:rPr>
                <w:b/>
              </w:rPr>
            </w:pPr>
            <w:r w:rsidRPr="0030587F">
              <w:rPr>
                <w:b/>
              </w:rPr>
              <w:t>Treatment of infection</w:t>
            </w:r>
          </w:p>
        </w:tc>
        <w:tc>
          <w:tcPr>
            <w:tcW w:w="7650" w:type="dxa"/>
            <w:shd w:val="clear" w:color="auto" w:fill="auto"/>
          </w:tcPr>
          <w:p w:rsidR="00B30F23" w:rsidRPr="0030587F" w:rsidRDefault="00B30F23">
            <w:pPr>
              <w:spacing w:after="120"/>
              <w:rPr>
                <w:b/>
              </w:rPr>
            </w:pPr>
            <w:r w:rsidRPr="0030587F">
              <w:t xml:space="preserve">If an infection is due to CPE, discuss treatment with </w:t>
            </w:r>
            <w:r w:rsidR="001E0341" w:rsidRPr="0030587F">
              <w:t xml:space="preserve">Infectious Diseases or Clinical Microbiology. </w:t>
            </w:r>
            <w:r w:rsidRPr="0030587F">
              <w:t xml:space="preserve"> </w:t>
            </w:r>
            <w:r w:rsidR="001E0341" w:rsidRPr="0030587F">
              <w:t>Most patients will not have an infection due to CPE, but if you are concerned about this, contact ID or Clinical Microbiology as above.</w:t>
            </w:r>
          </w:p>
        </w:tc>
      </w:tr>
      <w:tr w:rsidR="00B30F23" w:rsidRPr="0030587F" w:rsidTr="00D0170D">
        <w:tc>
          <w:tcPr>
            <w:tcW w:w="2430" w:type="dxa"/>
          </w:tcPr>
          <w:p w:rsidR="00B30F23" w:rsidRPr="0030587F" w:rsidRDefault="00B30F23" w:rsidP="000011CA">
            <w:pPr>
              <w:spacing w:after="120"/>
              <w:rPr>
                <w:b/>
              </w:rPr>
            </w:pPr>
            <w:r w:rsidRPr="0030587F">
              <w:rPr>
                <w:b/>
              </w:rPr>
              <w:t>Infection prevention and control</w:t>
            </w:r>
          </w:p>
        </w:tc>
        <w:tc>
          <w:tcPr>
            <w:tcW w:w="7650" w:type="dxa"/>
          </w:tcPr>
          <w:p w:rsidR="00B30F23" w:rsidRPr="0030587F" w:rsidRDefault="000E0353">
            <w:pPr>
              <w:spacing w:after="120"/>
              <w:rPr>
                <w:rFonts w:ascii="Calibri" w:hAnsi="Calibri" w:cs="Calibri"/>
                <w:b/>
              </w:rPr>
            </w:pPr>
            <w:r w:rsidRPr="0030587F">
              <w:rPr>
                <w:rFonts w:ascii="Calibri" w:eastAsia="Times" w:hAnsi="Calibri" w:cs="Calibri"/>
                <w:lang w:val="en-GB"/>
              </w:rPr>
              <w:t xml:space="preserve">Generally, there are no special measures required </w:t>
            </w:r>
            <w:r w:rsidRPr="0030587F">
              <w:rPr>
                <w:rFonts w:ascii="Calibri" w:eastAsia="Times" w:hAnsi="Calibri" w:cs="Calibri"/>
              </w:rPr>
              <w:t xml:space="preserve">for your GP practice </w:t>
            </w:r>
            <w:r w:rsidRPr="0030587F">
              <w:rPr>
                <w:rFonts w:ascii="Calibri" w:eastAsia="Times" w:hAnsi="Calibri" w:cs="Calibri"/>
                <w:lang w:val="en-GB"/>
              </w:rPr>
              <w:t xml:space="preserve">when seeing these patients, other than thorough hand hygiene using </w:t>
            </w:r>
            <w:r w:rsidR="001E0341" w:rsidRPr="0030587F">
              <w:rPr>
                <w:rFonts w:ascii="Calibri" w:eastAsia="Times" w:hAnsi="Calibri" w:cs="Calibri"/>
                <w:lang w:val="en-GB"/>
              </w:rPr>
              <w:t xml:space="preserve">an alcohol-based hand rub or </w:t>
            </w:r>
            <w:r w:rsidRPr="0030587F">
              <w:rPr>
                <w:rFonts w:ascii="Calibri" w:eastAsia="Times" w:hAnsi="Calibri" w:cs="Calibri"/>
                <w:lang w:val="en-GB"/>
              </w:rPr>
              <w:t>soap and water</w:t>
            </w:r>
            <w:r w:rsidR="001E0341" w:rsidRPr="0030587F">
              <w:rPr>
                <w:rFonts w:ascii="Calibri" w:eastAsia="Times" w:hAnsi="Calibri" w:cs="Calibri"/>
                <w:lang w:val="en-GB"/>
              </w:rPr>
              <w:t xml:space="preserve"> (before and after seeing the patient)</w:t>
            </w:r>
            <w:r w:rsidRPr="0030587F">
              <w:rPr>
                <w:rFonts w:ascii="Calibri" w:eastAsia="Times" w:hAnsi="Calibri" w:cs="Calibri"/>
                <w:lang w:val="en-GB"/>
              </w:rPr>
              <w:t xml:space="preserve">. </w:t>
            </w:r>
            <w:r w:rsidR="001E0341" w:rsidRPr="0030587F">
              <w:rPr>
                <w:rFonts w:ascii="Calibri" w:eastAsia="Times" w:hAnsi="Calibri" w:cs="Calibri"/>
                <w:lang w:val="en-GB"/>
              </w:rPr>
              <w:t>If there is a possibility of contact with blood or body fluids, c</w:t>
            </w:r>
            <w:r w:rsidRPr="0030587F">
              <w:rPr>
                <w:rFonts w:ascii="Calibri" w:eastAsia="Times" w:hAnsi="Calibri" w:cs="Calibri"/>
                <w:lang w:val="en-GB"/>
              </w:rPr>
              <w:t xml:space="preserve">ontact precautions should be used </w:t>
            </w:r>
            <w:r w:rsidR="001E0341" w:rsidRPr="0030587F">
              <w:rPr>
                <w:rFonts w:ascii="Calibri" w:eastAsia="Times" w:hAnsi="Calibri" w:cs="Calibri"/>
                <w:lang w:val="en-GB"/>
              </w:rPr>
              <w:t xml:space="preserve">(gown/plastic apron). For usual GP consultation, </w:t>
            </w:r>
            <w:r w:rsidRPr="0030587F">
              <w:rPr>
                <w:rFonts w:ascii="Calibri" w:eastAsia="Times" w:hAnsi="Calibri" w:cs="Calibri"/>
                <w:lang w:val="en-GB"/>
              </w:rPr>
              <w:t xml:space="preserve">standard precautions </w:t>
            </w:r>
            <w:r w:rsidR="001E0341" w:rsidRPr="0030587F">
              <w:rPr>
                <w:rFonts w:ascii="Calibri" w:eastAsia="Times" w:hAnsi="Calibri" w:cs="Calibri"/>
                <w:lang w:val="en-GB"/>
              </w:rPr>
              <w:t>will be adequate</w:t>
            </w:r>
            <w:r w:rsidRPr="0030587F">
              <w:rPr>
                <w:rFonts w:ascii="Calibri" w:eastAsia="Times" w:hAnsi="Calibri" w:cs="Calibri"/>
                <w:lang w:val="en-GB"/>
              </w:rPr>
              <w:t>. Routine cleaning of your office space and waiting area is sufficient</w:t>
            </w:r>
            <w:r w:rsidR="001E0341" w:rsidRPr="0030587F">
              <w:rPr>
                <w:rFonts w:ascii="Calibri" w:eastAsia="Times" w:hAnsi="Calibri" w:cs="Calibri"/>
                <w:lang w:val="en-GB"/>
              </w:rPr>
              <w:t>.</w:t>
            </w:r>
          </w:p>
        </w:tc>
      </w:tr>
      <w:tr w:rsidR="00B30F23" w:rsidRPr="00F42F50" w:rsidTr="00D0170D">
        <w:tc>
          <w:tcPr>
            <w:tcW w:w="2430" w:type="dxa"/>
          </w:tcPr>
          <w:p w:rsidR="00B30F23" w:rsidRPr="0030587F" w:rsidRDefault="00D0170D" w:rsidP="000011CA">
            <w:pPr>
              <w:spacing w:after="120"/>
              <w:rPr>
                <w:b/>
              </w:rPr>
            </w:pPr>
            <w:r w:rsidRPr="0030587F">
              <w:rPr>
                <w:b/>
              </w:rPr>
              <w:t>Further Information</w:t>
            </w:r>
          </w:p>
        </w:tc>
        <w:tc>
          <w:tcPr>
            <w:tcW w:w="7650" w:type="dxa"/>
          </w:tcPr>
          <w:p w:rsidR="00D0170D" w:rsidRPr="0030587F" w:rsidRDefault="00D0170D" w:rsidP="000011CA">
            <w:pPr>
              <w:spacing w:after="120"/>
              <w:rPr>
                <w:rFonts w:cstheme="minorHAnsi"/>
              </w:rPr>
            </w:pPr>
            <w:r w:rsidRPr="0030587F">
              <w:rPr>
                <w:rFonts w:cstheme="minorHAnsi"/>
              </w:rPr>
              <w:t>For more detailed guidance on prevention and mana</w:t>
            </w:r>
            <w:r w:rsidR="000011CA" w:rsidRPr="0030587F">
              <w:rPr>
                <w:rFonts w:cstheme="minorHAnsi"/>
              </w:rPr>
              <w:t xml:space="preserve">gement of CPE, please refer to, </w:t>
            </w:r>
            <w:r w:rsidRPr="0030587F">
              <w:rPr>
                <w:rFonts w:cstheme="minorHAnsi"/>
              </w:rPr>
              <w:t xml:space="preserve">NSW Guideline </w:t>
            </w:r>
            <w:r w:rsidR="000011CA" w:rsidRPr="0030587F">
              <w:rPr>
                <w:rFonts w:cstheme="minorHAnsi"/>
              </w:rPr>
              <w:t xml:space="preserve">and Toolkit </w:t>
            </w:r>
            <w:r w:rsidRPr="0030587F">
              <w:rPr>
                <w:rFonts w:cstheme="minorHAnsi"/>
              </w:rPr>
              <w:t xml:space="preserve">for CPE </w:t>
            </w:r>
            <w:r w:rsidR="000011CA" w:rsidRPr="0030587F">
              <w:rPr>
                <w:rFonts w:cstheme="minorHAnsi"/>
              </w:rPr>
              <w:t>[Insert web link].</w:t>
            </w:r>
          </w:p>
          <w:p w:rsidR="000011CA" w:rsidRPr="000011CA" w:rsidRDefault="000011CA" w:rsidP="00675B73">
            <w:pPr>
              <w:spacing w:after="120"/>
              <w:rPr>
                <w:rFonts w:cstheme="minorHAnsi"/>
              </w:rPr>
            </w:pPr>
            <w:r w:rsidRPr="0030587F">
              <w:rPr>
                <w:rFonts w:eastAsia="Times" w:cstheme="minorHAnsi"/>
                <w:lang w:val="en-GB"/>
              </w:rPr>
              <w:t>Royal Australian College of General Practitioners</w:t>
            </w:r>
            <w:hyperlink r:id="rId5" w:history="1">
              <w:r w:rsidRPr="00675B73">
                <w:rPr>
                  <w:rStyle w:val="Hyperlink"/>
                  <w:rFonts w:eastAsia="Times" w:cstheme="minorHAnsi"/>
                  <w:lang w:val="en-GB"/>
                </w:rPr>
                <w:t xml:space="preserve">, </w:t>
              </w:r>
              <w:r w:rsidRPr="00675B73">
                <w:rPr>
                  <w:rStyle w:val="Hyperlink"/>
                  <w:rFonts w:eastAsia="Times" w:cstheme="minorHAnsi"/>
                  <w:i/>
                  <w:lang w:val="en-GB"/>
                </w:rPr>
                <w:t>Infection prevention and control standards for general practices and other office-based and community-based practices</w:t>
              </w:r>
            </w:hyperlink>
            <w:r w:rsidRPr="0030587F">
              <w:rPr>
                <w:rFonts w:eastAsia="Times" w:cstheme="minorHAnsi"/>
                <w:lang w:val="en-GB"/>
              </w:rPr>
              <w:t xml:space="preserve"> (5</w:t>
            </w:r>
            <w:r w:rsidRPr="0030587F">
              <w:rPr>
                <w:rFonts w:eastAsia="Times" w:cstheme="minorHAnsi"/>
                <w:vertAlign w:val="superscript"/>
                <w:lang w:val="en-GB"/>
              </w:rPr>
              <w:t>th</w:t>
            </w:r>
            <w:r w:rsidRPr="0030587F">
              <w:rPr>
                <w:rFonts w:eastAsia="Times" w:cstheme="minorHAnsi"/>
                <w:lang w:val="en-GB"/>
              </w:rPr>
              <w:t xml:space="preserve"> edition).</w:t>
            </w:r>
            <w:r w:rsidRPr="000011CA">
              <w:rPr>
                <w:rFonts w:eastAsia="Times" w:cstheme="minorHAnsi"/>
                <w:lang w:val="en-GB"/>
              </w:rPr>
              <w:t xml:space="preserve"> </w:t>
            </w:r>
          </w:p>
        </w:tc>
      </w:tr>
    </w:tbl>
    <w:p w:rsidR="00FB45FA" w:rsidRDefault="00FB45FA" w:rsidP="001D2B85"/>
    <w:sectPr w:rsidR="00FB45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9EA"/>
    <w:multiLevelType w:val="hybridMultilevel"/>
    <w:tmpl w:val="B8D68A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528E1"/>
    <w:multiLevelType w:val="hybridMultilevel"/>
    <w:tmpl w:val="A2AE97C8"/>
    <w:lvl w:ilvl="0" w:tplc="3E62B1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C12C8"/>
    <w:multiLevelType w:val="hybridMultilevel"/>
    <w:tmpl w:val="58B0C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873C13"/>
    <w:multiLevelType w:val="hybridMultilevel"/>
    <w:tmpl w:val="BCFEF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F03F27"/>
    <w:multiLevelType w:val="hybridMultilevel"/>
    <w:tmpl w:val="FC7A8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683D96"/>
    <w:multiLevelType w:val="hybridMultilevel"/>
    <w:tmpl w:val="EB90769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abstractNumId w:val="6"/>
  </w:num>
  <w:num w:numId="2">
    <w:abstractNumId w:val="6"/>
    <w:lvlOverride w:ilvl="0"/>
    <w:lvlOverride w:ilvl="1"/>
    <w:lvlOverride w:ilvl="2"/>
    <w:lvlOverride w:ilvl="3"/>
    <w:lvlOverride w:ilvl="4"/>
    <w:lvlOverride w:ilvl="5"/>
    <w:lvlOverride w:ilvl="6"/>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3"/>
    <w:rsid w:val="000011CA"/>
    <w:rsid w:val="00066FFA"/>
    <w:rsid w:val="000E0353"/>
    <w:rsid w:val="001D2B85"/>
    <w:rsid w:val="001E0341"/>
    <w:rsid w:val="0030587F"/>
    <w:rsid w:val="0032764F"/>
    <w:rsid w:val="003566E3"/>
    <w:rsid w:val="00421C22"/>
    <w:rsid w:val="004A013A"/>
    <w:rsid w:val="004C5DB4"/>
    <w:rsid w:val="005C61DC"/>
    <w:rsid w:val="00675B73"/>
    <w:rsid w:val="006C0C9E"/>
    <w:rsid w:val="00746E7A"/>
    <w:rsid w:val="007D043B"/>
    <w:rsid w:val="008460DC"/>
    <w:rsid w:val="008C0F74"/>
    <w:rsid w:val="008C1F63"/>
    <w:rsid w:val="00960731"/>
    <w:rsid w:val="009A5A45"/>
    <w:rsid w:val="009D13F8"/>
    <w:rsid w:val="00A23883"/>
    <w:rsid w:val="00A36827"/>
    <w:rsid w:val="00A858B3"/>
    <w:rsid w:val="00A86CE8"/>
    <w:rsid w:val="00B30F23"/>
    <w:rsid w:val="00C015C9"/>
    <w:rsid w:val="00D0170D"/>
    <w:rsid w:val="00E71825"/>
    <w:rsid w:val="00E85A4D"/>
    <w:rsid w:val="00E96FA1"/>
    <w:rsid w:val="00F11970"/>
    <w:rsid w:val="00F42F50"/>
    <w:rsid w:val="00F91F17"/>
    <w:rsid w:val="00FB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12BFF-926F-433B-A9B1-434166D8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DHHSbody"/>
    <w:link w:val="Heading2Char"/>
    <w:uiPriority w:val="1"/>
    <w:semiHidden/>
    <w:unhideWhenUsed/>
    <w:qFormat/>
    <w:rsid w:val="00E85A4D"/>
    <w:pPr>
      <w:keepNext/>
      <w:keepLines/>
      <w:spacing w:before="240" w:after="90" w:line="320" w:lineRule="atLeast"/>
      <w:outlineLvl w:val="1"/>
    </w:pPr>
    <w:rPr>
      <w:rFonts w:ascii="Arial" w:eastAsia="Times New Roman" w:hAnsi="Arial" w:cs="Times New Roman"/>
      <w:b/>
      <w:color w:val="87189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45FA"/>
    <w:rPr>
      <w:b/>
      <w:bCs/>
    </w:rPr>
  </w:style>
  <w:style w:type="character" w:styleId="Emphasis">
    <w:name w:val="Emphasis"/>
    <w:basedOn w:val="DefaultParagraphFont"/>
    <w:uiPriority w:val="20"/>
    <w:qFormat/>
    <w:rsid w:val="00FB45FA"/>
    <w:rPr>
      <w:i/>
      <w:iCs/>
    </w:rPr>
  </w:style>
  <w:style w:type="character" w:customStyle="1" w:styleId="Heading2Char">
    <w:name w:val="Heading 2 Char"/>
    <w:basedOn w:val="DefaultParagraphFont"/>
    <w:link w:val="Heading2"/>
    <w:uiPriority w:val="1"/>
    <w:semiHidden/>
    <w:rsid w:val="00E85A4D"/>
    <w:rPr>
      <w:rFonts w:ascii="Arial" w:eastAsia="Times New Roman" w:hAnsi="Arial" w:cs="Times New Roman"/>
      <w:b/>
      <w:color w:val="87189D"/>
      <w:sz w:val="28"/>
      <w:szCs w:val="28"/>
    </w:rPr>
  </w:style>
  <w:style w:type="character" w:styleId="Hyperlink">
    <w:name w:val="Hyperlink"/>
    <w:uiPriority w:val="99"/>
    <w:unhideWhenUsed/>
    <w:rsid w:val="00E85A4D"/>
    <w:rPr>
      <w:color w:val="3366FF"/>
      <w:u w:val="dotted"/>
    </w:rPr>
  </w:style>
  <w:style w:type="paragraph" w:customStyle="1" w:styleId="DHHSbody">
    <w:name w:val="DHHS body"/>
    <w:qFormat/>
    <w:rsid w:val="00E85A4D"/>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E85A4D"/>
    <w:pPr>
      <w:numPr>
        <w:numId w:val="1"/>
      </w:numPr>
      <w:spacing w:after="40"/>
    </w:pPr>
  </w:style>
  <w:style w:type="paragraph" w:customStyle="1" w:styleId="DHHSbullet2">
    <w:name w:val="DHHS bullet 2"/>
    <w:basedOn w:val="DHHSbody"/>
    <w:uiPriority w:val="2"/>
    <w:qFormat/>
    <w:rsid w:val="00E85A4D"/>
    <w:pPr>
      <w:numPr>
        <w:ilvl w:val="2"/>
        <w:numId w:val="1"/>
      </w:numPr>
      <w:spacing w:after="40"/>
    </w:pPr>
  </w:style>
  <w:style w:type="paragraph" w:customStyle="1" w:styleId="DHHStablebullet">
    <w:name w:val="DHHS table bullet"/>
    <w:basedOn w:val="Normal"/>
    <w:uiPriority w:val="3"/>
    <w:qFormat/>
    <w:rsid w:val="00E85A4D"/>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E85A4D"/>
    <w:pPr>
      <w:numPr>
        <w:ilvl w:val="4"/>
        <w:numId w:val="1"/>
      </w:numPr>
      <w:spacing w:after="40"/>
    </w:pPr>
  </w:style>
  <w:style w:type="paragraph" w:customStyle="1" w:styleId="DHHSbullet1lastline">
    <w:name w:val="DHHS bullet 1 last line"/>
    <w:basedOn w:val="DHHSbullet1"/>
    <w:qFormat/>
    <w:rsid w:val="00E85A4D"/>
    <w:pPr>
      <w:numPr>
        <w:ilvl w:val="1"/>
      </w:numPr>
      <w:spacing w:after="120"/>
    </w:pPr>
  </w:style>
  <w:style w:type="paragraph" w:customStyle="1" w:styleId="DHHSbullet2lastline">
    <w:name w:val="DHHS bullet 2 last line"/>
    <w:basedOn w:val="DHHSbullet2"/>
    <w:uiPriority w:val="2"/>
    <w:qFormat/>
    <w:rsid w:val="00E85A4D"/>
    <w:pPr>
      <w:numPr>
        <w:ilvl w:val="3"/>
      </w:numPr>
      <w:spacing w:after="120"/>
    </w:pPr>
  </w:style>
  <w:style w:type="paragraph" w:customStyle="1" w:styleId="DHHSbulletindentlastline">
    <w:name w:val="DHHS bullet indent last line"/>
    <w:basedOn w:val="DHHSbody"/>
    <w:uiPriority w:val="4"/>
    <w:rsid w:val="00E85A4D"/>
    <w:pPr>
      <w:numPr>
        <w:ilvl w:val="5"/>
        <w:numId w:val="1"/>
      </w:numPr>
    </w:pPr>
  </w:style>
  <w:style w:type="numbering" w:customStyle="1" w:styleId="ZZBullets">
    <w:name w:val="ZZ Bullets"/>
    <w:rsid w:val="00E85A4D"/>
    <w:pPr>
      <w:numPr>
        <w:numId w:val="1"/>
      </w:numPr>
    </w:pPr>
  </w:style>
  <w:style w:type="table" w:styleId="TableGrid">
    <w:name w:val="Table Grid"/>
    <w:basedOn w:val="TableNormal"/>
    <w:uiPriority w:val="39"/>
    <w:rsid w:val="009D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F23"/>
    <w:pPr>
      <w:ind w:left="720"/>
      <w:contextualSpacing/>
    </w:pPr>
  </w:style>
  <w:style w:type="character" w:styleId="CommentReference">
    <w:name w:val="annotation reference"/>
    <w:basedOn w:val="DefaultParagraphFont"/>
    <w:uiPriority w:val="99"/>
    <w:semiHidden/>
    <w:unhideWhenUsed/>
    <w:rsid w:val="00D0170D"/>
    <w:rPr>
      <w:sz w:val="16"/>
      <w:szCs w:val="16"/>
    </w:rPr>
  </w:style>
  <w:style w:type="paragraph" w:styleId="CommentText">
    <w:name w:val="annotation text"/>
    <w:basedOn w:val="Normal"/>
    <w:link w:val="CommentTextChar"/>
    <w:uiPriority w:val="99"/>
    <w:semiHidden/>
    <w:unhideWhenUsed/>
    <w:rsid w:val="00D0170D"/>
    <w:pPr>
      <w:spacing w:after="0" w:line="240" w:lineRule="auto"/>
    </w:pPr>
    <w:rPr>
      <w:rFonts w:ascii="Swis721 BT" w:hAnsi="Swis721 BT"/>
      <w:sz w:val="20"/>
      <w:szCs w:val="20"/>
    </w:rPr>
  </w:style>
  <w:style w:type="character" w:customStyle="1" w:styleId="CommentTextChar">
    <w:name w:val="Comment Text Char"/>
    <w:basedOn w:val="DefaultParagraphFont"/>
    <w:link w:val="CommentText"/>
    <w:uiPriority w:val="99"/>
    <w:semiHidden/>
    <w:rsid w:val="00D0170D"/>
    <w:rPr>
      <w:rFonts w:ascii="Swis721 BT" w:hAnsi="Swis721 BT"/>
      <w:sz w:val="20"/>
      <w:szCs w:val="20"/>
    </w:rPr>
  </w:style>
  <w:style w:type="paragraph" w:styleId="BalloonText">
    <w:name w:val="Balloon Text"/>
    <w:basedOn w:val="Normal"/>
    <w:link w:val="BalloonTextChar"/>
    <w:uiPriority w:val="99"/>
    <w:semiHidden/>
    <w:unhideWhenUsed/>
    <w:rsid w:val="00D0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3883"/>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23883"/>
    <w:rPr>
      <w:rFonts w:ascii="Swis721 BT" w:hAnsi="Swis721 BT"/>
      <w:b/>
      <w:bCs/>
      <w:sz w:val="20"/>
      <w:szCs w:val="20"/>
    </w:rPr>
  </w:style>
  <w:style w:type="character" w:styleId="FollowedHyperlink">
    <w:name w:val="FollowedHyperlink"/>
    <w:basedOn w:val="DefaultParagraphFont"/>
    <w:uiPriority w:val="99"/>
    <w:semiHidden/>
    <w:unhideWhenUsed/>
    <w:rsid w:val="00675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53421">
      <w:bodyDiv w:val="1"/>
      <w:marLeft w:val="0"/>
      <w:marRight w:val="0"/>
      <w:marTop w:val="0"/>
      <w:marBottom w:val="0"/>
      <w:divBdr>
        <w:top w:val="none" w:sz="0" w:space="0" w:color="auto"/>
        <w:left w:val="none" w:sz="0" w:space="0" w:color="auto"/>
        <w:bottom w:val="none" w:sz="0" w:space="0" w:color="auto"/>
        <w:right w:val="none" w:sz="0" w:space="0" w:color="auto"/>
      </w:divBdr>
    </w:div>
    <w:div w:id="20076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cgp.org.au/your-practice/standards/infectionc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Bisson</dc:creator>
  <cp:lastModifiedBy>Zeb Woodpower</cp:lastModifiedBy>
  <cp:revision>1</cp:revision>
  <cp:lastPrinted>2018-06-18T03:59:00Z</cp:lastPrinted>
  <dcterms:created xsi:type="dcterms:W3CDTF">2019-10-16T03:37:00Z</dcterms:created>
  <dcterms:modified xsi:type="dcterms:W3CDTF">2019-10-16T03:37:00Z</dcterms:modified>
</cp:coreProperties>
</file>